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right"/>
        <w:rPr>
          <w:b w:val="1"/>
          <w:bCs w:val="1"/>
          <w:sz w:val="20"/>
          <w:szCs w:val="20"/>
          <w:highlight w:val="white"/>
        </w:rPr>
      </w:pPr>
      <w:r w:rsidDel="00000000" w:rsidR="00000000" w:rsidRPr="00000000">
        <w:rPr>
          <w:b w:val="1"/>
          <w:bCs w:val="1"/>
          <w:sz w:val="20"/>
          <w:szCs w:val="20"/>
          <w:highlight w:val="white"/>
          <w:rtl w:val="0"/>
        </w:rPr>
        <w:t xml:space="preserve">Łódź, 27.05.2026 r.</w:t>
      </w:r>
    </w:p>
    <w:p w:rsidR="00000000" w:rsidDel="00000000" w:rsidP="00000000" w:rsidRDefault="00000000" w:rsidRPr="00000000" w14:paraId="00000002">
      <w:pPr>
        <w:spacing w:after="240" w:before="240" w:line="240" w:lineRule="auto"/>
        <w:rPr>
          <w:b w:val="1"/>
          <w:bCs w:val="1"/>
          <w:sz w:val="48"/>
          <w:szCs w:val="48"/>
        </w:rPr>
      </w:pPr>
      <w:r w:rsidDel="00000000" w:rsidR="00000000" w:rsidRPr="00000000">
        <w:rPr>
          <w:b w:val="1"/>
          <w:bCs w:val="1"/>
          <w:sz w:val="48"/>
          <w:szCs w:val="48"/>
          <w:rtl w:val="0"/>
        </w:rPr>
        <w:t xml:space="preserve">Kubota S.A. podsumowuje dynamiczny rok 2025: Skokowy wzrost przychodów i zysku netto. </w:t>
      </w:r>
    </w:p>
    <w:p w:rsidR="00000000" w:rsidDel="00000000" w:rsidP="00000000" w:rsidRDefault="00000000" w:rsidRPr="00000000" w14:paraId="00000003">
      <w:pPr>
        <w:spacing w:after="240" w:before="240" w:line="360" w:lineRule="auto"/>
        <w:jc w:val="both"/>
        <w:rPr>
          <w:sz w:val="24"/>
          <w:szCs w:val="24"/>
        </w:rPr>
      </w:pPr>
      <w:r w:rsidDel="00000000" w:rsidR="00000000" w:rsidRPr="00000000">
        <w:rPr>
          <w:sz w:val="24"/>
          <w:szCs w:val="24"/>
          <w:rtl w:val="0"/>
        </w:rPr>
        <w:t xml:space="preserve">Rok 2025 przyniósł Kubota S.A. wyraźną poprawę skali działalności, rentowności oraz sytuacji płynnościowej. Spółka zwiększyła swój zysk netto, dynamicznie rozwijając sprzedaż krajową i zagraniczną oraz przeprowadzając rebranding. Choć nadchodzące miesiące przyniosą zwiększone nakłady inwestycyjne, Spółka posiada poduszkę finansową pod dalszy, stabilny wzrost.</w:t>
      </w:r>
    </w:p>
    <w:p w:rsidR="00000000" w:rsidDel="00000000" w:rsidP="00000000" w:rsidRDefault="00000000" w:rsidRPr="00000000" w14:paraId="00000004">
      <w:pPr>
        <w:spacing w:after="240" w:before="240" w:line="360" w:lineRule="auto"/>
        <w:jc w:val="both"/>
        <w:rPr>
          <w:b w:val="1"/>
          <w:bCs w:val="1"/>
          <w:sz w:val="24"/>
          <w:szCs w:val="24"/>
        </w:rPr>
      </w:pPr>
      <w:r w:rsidDel="00000000" w:rsidR="00000000" w:rsidRPr="00000000">
        <w:rPr>
          <w:b w:val="1"/>
          <w:bCs w:val="1"/>
          <w:sz w:val="24"/>
          <w:szCs w:val="24"/>
          <w:rtl w:val="0"/>
        </w:rPr>
        <w:t xml:space="preserve">Wyraźna poprawa kluczowych wskaźników finansowych</w:t>
      </w:r>
    </w:p>
    <w:p w:rsidR="00000000" w:rsidDel="00000000" w:rsidP="00000000" w:rsidRDefault="00000000" w:rsidRPr="00000000" w14:paraId="00000005">
      <w:pPr>
        <w:spacing w:after="240" w:before="240" w:line="360" w:lineRule="auto"/>
        <w:jc w:val="both"/>
        <w:rPr>
          <w:sz w:val="24"/>
          <w:szCs w:val="24"/>
        </w:rPr>
      </w:pPr>
      <w:r w:rsidDel="00000000" w:rsidR="00000000" w:rsidRPr="00000000">
        <w:rPr>
          <w:sz w:val="24"/>
          <w:szCs w:val="24"/>
          <w:rtl w:val="0"/>
        </w:rPr>
        <w:t xml:space="preserve">Miniony rok obrotowy okazał się dla Kubota S.A. okresem silnych wzrostów. Zgodnie z deklaracjami Zarządu, Spółka skutecznie zwiększyła skalę biznesu przy jednoczesnym zachowaniu pełnej kontroli nad płynnością finansową.</w:t>
      </w:r>
    </w:p>
    <w:p w:rsidR="00000000" w:rsidDel="00000000" w:rsidP="00000000" w:rsidRDefault="00000000" w:rsidRPr="00000000" w14:paraId="00000006">
      <w:pPr>
        <w:spacing w:after="240" w:before="240" w:line="360" w:lineRule="auto"/>
        <w:jc w:val="both"/>
        <w:rPr>
          <w:sz w:val="24"/>
          <w:szCs w:val="24"/>
        </w:rPr>
      </w:pPr>
      <w:r w:rsidDel="00000000" w:rsidR="00000000" w:rsidRPr="00000000">
        <w:rPr>
          <w:sz w:val="24"/>
          <w:szCs w:val="24"/>
          <w:rtl w:val="0"/>
        </w:rPr>
        <w:t xml:space="preserve">Najważniejsze dane finansowe za rok 2025:</w:t>
      </w:r>
    </w:p>
    <w:p w:rsidR="00000000" w:rsidDel="00000000" w:rsidP="00000000" w:rsidRDefault="00000000" w:rsidRPr="00000000" w14:paraId="0000000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240" w:line="36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przychody netto ze sprzedaży: ok. 32,0 mln zł (wobec ok. 22,1 mln zł w roku ubiegłym),</w:t>
      </w:r>
    </w:p>
    <w:p w:rsidR="00000000" w:rsidDel="00000000" w:rsidP="00000000" w:rsidRDefault="00000000" w:rsidRPr="00000000" w14:paraId="00000008">
      <w:pPr>
        <w:numPr>
          <w:ilvl w:val="0"/>
          <w:numId w:val="1"/>
        </w:numPr>
        <w:spacing w:after="240" w:before="240" w:line="360" w:lineRule="auto"/>
        <w:ind w:left="720" w:hanging="360"/>
        <w:jc w:val="both"/>
        <w:rPr>
          <w:sz w:val="24"/>
          <w:szCs w:val="24"/>
        </w:rPr>
      </w:pPr>
      <w:r w:rsidDel="00000000" w:rsidR="00000000" w:rsidRPr="00000000">
        <w:rPr>
          <w:sz w:val="24"/>
          <w:szCs w:val="24"/>
          <w:rtl w:val="0"/>
        </w:rPr>
        <w:t xml:space="preserve">zysk netto: wzrost do ok. 2,3 mln zł (wobec ok. 0,6 mln zł w 2024 roku)*,</w:t>
      </w:r>
    </w:p>
    <w:p w:rsidR="00000000" w:rsidDel="00000000" w:rsidP="00000000" w:rsidRDefault="00000000" w:rsidRPr="00000000" w14:paraId="00000009">
      <w:pPr>
        <w:numPr>
          <w:ilvl w:val="0"/>
          <w:numId w:val="2"/>
        </w:numPr>
        <w:spacing w:after="240" w:before="240" w:line="360" w:lineRule="auto"/>
        <w:ind w:left="720" w:hanging="360"/>
        <w:jc w:val="both"/>
        <w:rPr>
          <w:sz w:val="24"/>
          <w:szCs w:val="24"/>
        </w:rPr>
      </w:pPr>
      <w:r w:rsidDel="00000000" w:rsidR="00000000" w:rsidRPr="00000000">
        <w:rPr>
          <w:sz w:val="24"/>
          <w:szCs w:val="24"/>
          <w:rtl w:val="0"/>
        </w:rPr>
        <w:t xml:space="preserve">przepływy operacyjne: dodatnie, na poziomie ok. 1,23 mln zł.</w:t>
      </w:r>
    </w:p>
    <w:p w:rsidR="00000000" w:rsidDel="00000000" w:rsidP="00000000" w:rsidRDefault="00000000" w:rsidRPr="00000000" w14:paraId="0000000A">
      <w:pPr>
        <w:spacing w:after="240" w:before="240" w:line="360" w:lineRule="auto"/>
        <w:jc w:val="both"/>
        <w:rPr>
          <w:sz w:val="24"/>
          <w:szCs w:val="24"/>
        </w:rPr>
      </w:pPr>
      <w:r w:rsidDel="00000000" w:rsidR="00000000" w:rsidRPr="00000000">
        <w:rPr>
          <w:sz w:val="24"/>
          <w:szCs w:val="24"/>
          <w:rtl w:val="0"/>
        </w:rPr>
        <w:t xml:space="preserve">*Przedstawiony zysk netto nie jest skorygowany o koszty zakupu akcji w ramach programu motywacyjnego.</w:t>
      </w:r>
    </w:p>
    <w:p w:rsidR="00000000" w:rsidDel="00000000" w:rsidP="00000000" w:rsidRDefault="00000000" w:rsidRPr="00000000" w14:paraId="0000000B">
      <w:pPr>
        <w:spacing w:after="240" w:before="240" w:line="360" w:lineRule="auto"/>
        <w:jc w:val="both"/>
        <w:rPr>
          <w:b w:val="1"/>
          <w:bCs w:val="1"/>
          <w:sz w:val="24"/>
          <w:szCs w:val="24"/>
        </w:rPr>
      </w:pPr>
      <w:r w:rsidDel="00000000" w:rsidR="00000000" w:rsidRPr="00000000">
        <w:rPr>
          <w:rtl w:val="0"/>
        </w:rPr>
      </w:r>
    </w:p>
    <w:p w:rsidR="00000000" w:rsidDel="00000000" w:rsidP="00000000" w:rsidRDefault="00000000" w:rsidRPr="00000000" w14:paraId="0000000C">
      <w:pPr>
        <w:spacing w:after="240" w:before="240" w:line="360" w:lineRule="auto"/>
        <w:jc w:val="both"/>
        <w:rPr>
          <w:sz w:val="24"/>
          <w:szCs w:val="24"/>
        </w:rPr>
      </w:pPr>
      <w:r w:rsidDel="00000000" w:rsidR="00000000" w:rsidRPr="00000000">
        <w:rPr>
          <w:b w:val="1"/>
          <w:bCs w:val="1"/>
          <w:sz w:val="24"/>
          <w:szCs w:val="24"/>
          <w:rtl w:val="0"/>
        </w:rPr>
        <w:t xml:space="preserve">Dywersyfikacja oferty i strategiczny rebranding</w:t>
      </w:r>
      <w:r w:rsidDel="00000000" w:rsidR="00000000" w:rsidRPr="00000000">
        <w:rPr>
          <w:rtl w:val="0"/>
        </w:rPr>
      </w:r>
    </w:p>
    <w:p w:rsidR="00000000" w:rsidDel="00000000" w:rsidP="00000000" w:rsidRDefault="00000000" w:rsidRPr="00000000" w14:paraId="0000000D">
      <w:pPr>
        <w:spacing w:after="240" w:before="240" w:line="360" w:lineRule="auto"/>
        <w:jc w:val="both"/>
        <w:rPr>
          <w:sz w:val="24"/>
          <w:szCs w:val="24"/>
        </w:rPr>
      </w:pPr>
      <w:r w:rsidDel="00000000" w:rsidR="00000000" w:rsidRPr="00000000">
        <w:rPr>
          <w:sz w:val="24"/>
          <w:szCs w:val="24"/>
          <w:rtl w:val="0"/>
        </w:rPr>
        <w:t xml:space="preserve">Na osiągnięte rezultaty bezpośredni wpływ miały działania operacyjne. Kubota S.A. konsekwentnie rozwijała sprzedaż w kluczowych kanałach w kraju oraz na rynkach zagranicznych (w modelu marketplace).</w:t>
      </w:r>
    </w:p>
    <w:p w:rsidR="00000000" w:rsidDel="00000000" w:rsidP="00000000" w:rsidRDefault="00000000" w:rsidRPr="00000000" w14:paraId="0000000E">
      <w:pPr>
        <w:spacing w:after="240" w:before="240" w:line="360" w:lineRule="auto"/>
        <w:jc w:val="both"/>
        <w:rPr>
          <w:sz w:val="24"/>
          <w:szCs w:val="24"/>
        </w:rPr>
      </w:pPr>
      <w:r w:rsidDel="00000000" w:rsidR="00000000" w:rsidRPr="00000000">
        <w:rPr>
          <w:rtl w:val="0"/>
        </w:rPr>
      </w:r>
    </w:p>
    <w:p w:rsidR="00000000" w:rsidDel="00000000" w:rsidP="00000000" w:rsidRDefault="00000000" w:rsidRPr="00000000" w14:paraId="0000000F">
      <w:pPr>
        <w:spacing w:after="240" w:before="240" w:line="360" w:lineRule="auto"/>
        <w:jc w:val="both"/>
        <w:rPr>
          <w:sz w:val="24"/>
          <w:szCs w:val="24"/>
        </w:rPr>
      </w:pPr>
      <w:r w:rsidDel="00000000" w:rsidR="00000000" w:rsidRPr="00000000">
        <w:rPr>
          <w:sz w:val="24"/>
          <w:szCs w:val="24"/>
          <w:rtl w:val="0"/>
        </w:rPr>
        <w:t xml:space="preserve">Kluczowym elementem strategii była dywersyfikacja produktowa. Zarząd wskazuje na systematyczny, coroczny wzrost udziału sprzedaży asortymentu innego niż klapki. Pozwala to firmie na stopniowe uniezależnianie się od jednej, historycznie najważniejszej kategorii produktowej i wzmacnia pozycję Kuboty jako wszechstronnej marki modowej.</w:t>
      </w:r>
    </w:p>
    <w:p w:rsidR="00000000" w:rsidDel="00000000" w:rsidP="00000000" w:rsidRDefault="00000000" w:rsidRPr="00000000" w14:paraId="00000010">
      <w:pPr>
        <w:spacing w:after="240" w:before="240" w:line="360" w:lineRule="auto"/>
        <w:jc w:val="both"/>
        <w:rPr>
          <w:sz w:val="24"/>
          <w:szCs w:val="24"/>
        </w:rPr>
      </w:pPr>
      <w:r w:rsidDel="00000000" w:rsidR="00000000" w:rsidRPr="00000000">
        <w:rPr>
          <w:sz w:val="24"/>
          <w:szCs w:val="24"/>
          <w:rtl w:val="0"/>
        </w:rPr>
        <w:t xml:space="preserve">Ważnym punktem zwrotnym w 2025 roku był również rebranding.</w:t>
      </w:r>
    </w:p>
    <w:p w:rsidR="00000000" w:rsidDel="00000000" w:rsidP="00000000" w:rsidRDefault="00000000" w:rsidRPr="00000000" w14:paraId="00000011">
      <w:pPr>
        <w:spacing w:after="240" w:before="240" w:line="360" w:lineRule="auto"/>
        <w:jc w:val="both"/>
        <w:rPr>
          <w:sz w:val="24"/>
          <w:szCs w:val="24"/>
        </w:rPr>
      </w:pPr>
      <w:r w:rsidDel="00000000" w:rsidR="00000000" w:rsidRPr="00000000">
        <w:rPr>
          <w:sz w:val="24"/>
          <w:szCs w:val="24"/>
          <w:rtl w:val="0"/>
        </w:rPr>
        <w:t xml:space="preserve">— </w:t>
      </w:r>
      <w:r w:rsidDel="00000000" w:rsidR="00000000" w:rsidRPr="00000000">
        <w:rPr>
          <w:i w:val="1"/>
          <w:iCs w:val="1"/>
          <w:sz w:val="24"/>
          <w:szCs w:val="24"/>
          <w:rtl w:val="0"/>
        </w:rPr>
        <w:t xml:space="preserve">Wdrożenie nowej identyfikacji wizualnej oraz uporządkowanie komunikacji miało na celu nie tylko odświeżenie wizerunku, ale przede wszystkim zbudowanie nowoczesnej marki </w:t>
      </w:r>
      <w:r w:rsidDel="00000000" w:rsidR="00000000" w:rsidRPr="00000000">
        <w:rPr>
          <w:i w:val="1"/>
          <w:iCs w:val="1"/>
          <w:sz w:val="24"/>
          <w:szCs w:val="24"/>
          <w:rtl w:val="0"/>
        </w:rPr>
        <w:t xml:space="preserve">pretendującej</w:t>
      </w:r>
      <w:r w:rsidDel="00000000" w:rsidR="00000000" w:rsidRPr="00000000">
        <w:rPr>
          <w:i w:val="1"/>
          <w:iCs w:val="1"/>
          <w:sz w:val="24"/>
          <w:szCs w:val="24"/>
          <w:rtl w:val="0"/>
        </w:rPr>
        <w:t xml:space="preserve"> do pozycji lidera w swojej kategorii. </w:t>
      </w:r>
      <w:r w:rsidDel="00000000" w:rsidR="00000000" w:rsidRPr="00000000">
        <w:rPr>
          <w:sz w:val="24"/>
          <w:szCs w:val="24"/>
          <w:rtl w:val="0"/>
        </w:rPr>
        <w:t xml:space="preserve">— komentuje Alina Sztoch, CEO &amp; Co-founder Kubota S.A.</w:t>
      </w:r>
    </w:p>
    <w:p w:rsidR="00000000" w:rsidDel="00000000" w:rsidP="00000000" w:rsidRDefault="00000000" w:rsidRPr="00000000" w14:paraId="00000012">
      <w:pPr>
        <w:spacing w:after="240" w:before="240" w:line="360" w:lineRule="auto"/>
        <w:jc w:val="both"/>
        <w:rPr>
          <w:sz w:val="24"/>
          <w:szCs w:val="24"/>
        </w:rPr>
      </w:pPr>
      <w:r w:rsidDel="00000000" w:rsidR="00000000" w:rsidRPr="00000000">
        <w:rPr>
          <w:rtl w:val="0"/>
        </w:rPr>
      </w:r>
    </w:p>
    <w:p w:rsidR="00000000" w:rsidDel="00000000" w:rsidP="00000000" w:rsidRDefault="00000000" w:rsidRPr="00000000" w14:paraId="00000013">
      <w:pPr>
        <w:spacing w:after="240" w:before="240" w:line="360" w:lineRule="auto"/>
        <w:jc w:val="both"/>
        <w:rPr>
          <w:sz w:val="24"/>
          <w:szCs w:val="24"/>
        </w:rPr>
      </w:pPr>
      <w:r w:rsidDel="00000000" w:rsidR="00000000" w:rsidRPr="00000000">
        <w:rPr>
          <w:b w:val="1"/>
          <w:bCs w:val="1"/>
          <w:sz w:val="24"/>
          <w:szCs w:val="24"/>
          <w:rtl w:val="0"/>
        </w:rPr>
        <w:t xml:space="preserve">Bezpieczna płynność i perspektywy inwestycyjne na rok 2026</w:t>
      </w:r>
      <w:r w:rsidDel="00000000" w:rsidR="00000000" w:rsidRPr="00000000">
        <w:rPr>
          <w:rtl w:val="0"/>
        </w:rPr>
      </w:r>
    </w:p>
    <w:p w:rsidR="00000000" w:rsidDel="00000000" w:rsidP="00000000" w:rsidRDefault="00000000" w:rsidRPr="00000000" w14:paraId="00000014">
      <w:pPr>
        <w:spacing w:after="240" w:before="240" w:line="360" w:lineRule="auto"/>
        <w:jc w:val="both"/>
        <w:rPr>
          <w:sz w:val="24"/>
          <w:szCs w:val="24"/>
        </w:rPr>
      </w:pPr>
      <w:r w:rsidDel="00000000" w:rsidR="00000000" w:rsidRPr="00000000">
        <w:rPr>
          <w:sz w:val="24"/>
          <w:szCs w:val="24"/>
          <w:rtl w:val="0"/>
        </w:rPr>
        <w:t xml:space="preserve">Kubota S.A. zamknęła rok 2025 z bezpieczną pozycją bilansową. Stan gotówki netto na koniec okresu wyniósł ok. 2,05 mln zł, a na dzień 31 grudnia 2025 roku Spółka nie wykazywała jakiegokolwiek wykorzystania kredytu obrotowego. Daje to dużą elastyczność w zarządzaniu kapitałem obrotowym.</w:t>
      </w:r>
    </w:p>
    <w:p w:rsidR="00000000" w:rsidDel="00000000" w:rsidP="00000000" w:rsidRDefault="00000000" w:rsidRPr="00000000" w14:paraId="00000015">
      <w:pPr>
        <w:spacing w:after="240" w:before="240" w:line="360" w:lineRule="auto"/>
        <w:jc w:val="both"/>
        <w:rPr>
          <w:sz w:val="24"/>
          <w:szCs w:val="24"/>
        </w:rPr>
      </w:pPr>
      <w:r w:rsidDel="00000000" w:rsidR="00000000" w:rsidRPr="00000000">
        <w:rPr>
          <w:sz w:val="24"/>
          <w:szCs w:val="24"/>
          <w:rtl w:val="0"/>
        </w:rPr>
        <w:t xml:space="preserve">Stabilna baza finansowa zostanie wykorzystana w roku 2026 na zwiększone inwestycje rozwojowe. Środki zostaną skierowane przede wszystkim na działania marketingowe i rozbudowę zespołu projektowego.</w:t>
      </w:r>
    </w:p>
    <w:p w:rsidR="00000000" w:rsidDel="00000000" w:rsidP="00000000" w:rsidRDefault="00000000" w:rsidRPr="00000000" w14:paraId="00000016">
      <w:pPr>
        <w:spacing w:after="240" w:before="240" w:line="360" w:lineRule="auto"/>
        <w:jc w:val="both"/>
        <w:rPr>
          <w:sz w:val="24"/>
          <w:szCs w:val="24"/>
        </w:rPr>
      </w:pPr>
      <w:r w:rsidDel="00000000" w:rsidR="00000000" w:rsidRPr="00000000">
        <w:rPr>
          <w:sz w:val="24"/>
          <w:szCs w:val="24"/>
          <w:rtl w:val="0"/>
        </w:rPr>
        <w:t xml:space="preserve">Zarząd otwarcie sygnalizuje, że ze względu na te świadome, jednorazowe nakłady (finansowane z wypracowanych środków, a nie z zadłużenia), poziom rentowności</w:t>
        <w:br w:type="textWrapping"/>
        <w:t xml:space="preserve">w 2026 roku może przejściowo znajdować się pod presją. Efekty tych inwestycji mają realnie wspierać budowę wartości Spółki w dłuższym horyzoncie.</w:t>
      </w:r>
    </w:p>
    <w:p w:rsidR="00000000" w:rsidDel="00000000" w:rsidP="00000000" w:rsidRDefault="00000000" w:rsidRPr="00000000" w14:paraId="00000017">
      <w:pPr>
        <w:spacing w:after="240" w:before="240" w:line="360" w:lineRule="auto"/>
        <w:jc w:val="both"/>
        <w:rPr>
          <w:sz w:val="24"/>
          <w:szCs w:val="24"/>
        </w:rPr>
      </w:pPr>
      <w:r w:rsidDel="00000000" w:rsidR="00000000" w:rsidRPr="00000000">
        <w:rPr>
          <w:sz w:val="24"/>
          <w:szCs w:val="24"/>
          <w:rtl w:val="0"/>
        </w:rPr>
        <w:t xml:space="preserve">Najbliższe kwartały w branży pozostaną wymagające pod kątem kosztów</w:t>
        <w:br w:type="textWrapping"/>
        <w:t xml:space="preserve">i konkurencyjności. Priorytetem Kubota S.A. będzie odpowiedzialne zarządzanie biznesem i utrzymanie bezpiecznej struktury finansowania.</w:t>
      </w:r>
    </w:p>
    <w:p w:rsidR="00000000" w:rsidDel="00000000" w:rsidP="00000000" w:rsidRDefault="00000000" w:rsidRPr="00000000" w14:paraId="00000018">
      <w:pPr>
        <w:spacing w:after="240" w:before="240" w:line="360" w:lineRule="auto"/>
        <w:jc w:val="both"/>
        <w:rPr>
          <w:sz w:val="24"/>
          <w:szCs w:val="24"/>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spacing w:after="240" w:before="240" w:line="360" w:lineRule="auto"/>
        <w:jc w:val="both"/>
        <w:rPr>
          <w:b w:val="1"/>
          <w:bCs w:val="1"/>
          <w:sz w:val="24"/>
          <w:szCs w:val="24"/>
        </w:rPr>
      </w:pPr>
      <w:r w:rsidDel="00000000" w:rsidR="00000000" w:rsidRPr="00000000">
        <w:rPr>
          <w:b w:val="1"/>
          <w:bCs w:val="1"/>
          <w:sz w:val="24"/>
          <w:szCs w:val="24"/>
          <w:rtl w:val="0"/>
        </w:rPr>
        <w:t xml:space="preserve">Informacja o marce</w:t>
      </w:r>
    </w:p>
    <w:p w:rsidR="00000000" w:rsidDel="00000000" w:rsidP="00000000" w:rsidRDefault="00000000" w:rsidRPr="00000000" w14:paraId="0000001B">
      <w:pPr>
        <w:spacing w:line="360" w:lineRule="auto"/>
        <w:rPr>
          <w:sz w:val="24"/>
          <w:szCs w:val="24"/>
        </w:rPr>
      </w:pPr>
      <w:r w:rsidDel="00000000" w:rsidR="00000000" w:rsidRPr="00000000">
        <w:rPr>
          <w:sz w:val="24"/>
          <w:szCs w:val="24"/>
          <w:rtl w:val="0"/>
        </w:rPr>
        <w:t xml:space="preserve">Kubota to polska marka obuwia, odzieży i akcesoriów, która od lat stawia na autentyczność, luz i inkluzywność. Choć zaczynała od kultowych klapków na rzep, dziś dynamicznie rozwija segment odzieżowy, udowadniając, że polski design może być jednocześnie wygodny, jakościowy i dostępny dla każdego. Kubota to nie tylko produkty, to społeczność ludzi, którzy wybierają swobodę ponad sztywne ramy mody.</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spacing w:after="240" w:before="240" w:line="360" w:lineRule="auto"/>
        <w:jc w:val="both"/>
        <w:rPr>
          <w:b w:val="1"/>
          <w:bCs w:val="1"/>
          <w:sz w:val="24"/>
          <w:szCs w:val="24"/>
        </w:rPr>
      </w:pPr>
      <w:r w:rsidDel="00000000" w:rsidR="00000000" w:rsidRPr="00000000">
        <w:rPr>
          <w:b w:val="1"/>
          <w:bCs w:val="1"/>
          <w:sz w:val="24"/>
          <w:szCs w:val="24"/>
          <w:rtl w:val="0"/>
        </w:rPr>
        <w:t xml:space="preserve">Dane do kontaktu</w:t>
      </w:r>
    </w:p>
    <w:p w:rsidR="00000000" w:rsidDel="00000000" w:rsidP="00000000" w:rsidRDefault="00000000" w:rsidRPr="00000000" w14:paraId="0000001E">
      <w:pPr>
        <w:spacing w:after="240" w:before="240" w:line="360" w:lineRule="auto"/>
        <w:jc w:val="both"/>
        <w:rPr>
          <w:b w:val="1"/>
          <w:bCs w:val="1"/>
          <w:sz w:val="24"/>
          <w:szCs w:val="24"/>
        </w:rPr>
      </w:pPr>
      <w:r w:rsidDel="00000000" w:rsidR="00000000" w:rsidRPr="00000000">
        <w:rPr>
          <w:sz w:val="24"/>
          <w:szCs w:val="24"/>
          <w:rtl w:val="0"/>
        </w:rPr>
        <w:t xml:space="preserve">partners@kubotastore.pl</w:t>
      </w:r>
      <w:r w:rsidDel="00000000" w:rsidR="00000000" w:rsidRPr="00000000">
        <w:rPr>
          <w:rtl w:val="0"/>
        </w:rPr>
      </w:r>
    </w:p>
    <w:sectPr>
      <w:head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1471930</wp:posOffset>
          </wp:positionH>
          <wp:positionV relativeFrom="paragraph">
            <wp:posOffset>-87629</wp:posOffset>
          </wp:positionV>
          <wp:extent cx="2642870" cy="346075"/>
          <wp:effectExtent b="0" l="0" r="0" t="0"/>
          <wp:wrapSquare wrapText="bothSides" distB="0" distT="0" distL="114300" distR="114300"/>
          <wp:docPr descr="Obraz zawierający czarne, zrzut ekranu, ciemność&#10;&#10;Zawartość wygenerowana przez sztuczną inteligencję może być niepoprawna." id="1" name="image1.png"/>
          <a:graphic>
            <a:graphicData uri="http://schemas.openxmlformats.org/drawingml/2006/picture">
              <pic:pic>
                <pic:nvPicPr>
                  <pic:cNvPr descr="Obraz zawierający czarne, zrzut ekranu, ciemność&#10;&#10;Zawartość wygenerowana przez sztuczną inteligencję może być niepoprawna." id="0" name="image1.png"/>
                  <pic:cNvPicPr preferRelativeResize="0"/>
                </pic:nvPicPr>
                <pic:blipFill>
                  <a:blip r:embed="rId1"/>
                  <a:srcRect b="0" l="0" r="0" t="0"/>
                  <a:stretch>
                    <a:fillRect/>
                  </a:stretch>
                </pic:blipFill>
                <pic:spPr>
                  <a:xfrm>
                    <a:off x="0" y="0"/>
                    <a:ext cx="2642870" cy="3460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eiqq/zzseK/uD3LSToRe+JCDlw==">CgMxLjA4AHIhMS04ZWF3NldqcV9UcFM1X0hyOGZQSkFURDlGcnVaSVNy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